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0"/>
        <w:rPr>
          <w:sz w:val="20"/>
          <w:szCs w:val="20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  <w:r>
        <w:rPr>
          <w:sz w:val="20"/>
          <w:szCs w:val="20"/>
          <w:lang w:val="sr-Cyrl-CS"/>
        </w:rPr>
        <w:t xml:space="preserve">Основна школа „Херој Пинки“  Бачка Паланка</w:t>
      </w:r>
      <w:r>
        <w:rPr>
          <w:sz w:val="20"/>
          <w:szCs w:val="20"/>
          <w:lang w:val="sr-Cyrl-CS"/>
        </w:rPr>
      </w:r>
      <w:r/>
    </w:p>
    <w:p>
      <w:pPr>
        <w:pStyle w:val="960"/>
        <w:ind w:firstLine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Трг Братства Јединства број 12</w:t>
      </w:r>
      <w:r/>
    </w:p>
    <w:p>
      <w:pPr>
        <w:pStyle w:val="960"/>
        <w:ind w:firstLine="720"/>
        <w:rPr>
          <w:sz w:val="20"/>
          <w:szCs w:val="20"/>
          <w:lang w:val="sr-Cyrl-CS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"http://www.herojpinki.edu.rs" </w:instrText>
      </w:r>
      <w:r>
        <w:rPr>
          <w:sz w:val="20"/>
          <w:szCs w:val="20"/>
        </w:rPr>
        <w:fldChar w:fldCharType="separate"/>
      </w:r>
      <w:r>
        <w:rPr>
          <w:rStyle w:val="970"/>
          <w:color w:val="000000"/>
          <w:sz w:val="20"/>
          <w:szCs w:val="20"/>
        </w:rPr>
        <w:t xml:space="preserve">www.herojpinki.edu.rs</w:t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sr-Cyrl-CS"/>
        </w:rPr>
      </w:r>
      <w:r/>
    </w:p>
    <w:p>
      <w:pPr>
        <w:pStyle w:val="960"/>
        <w:ind w:firstLine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Број:</w:t>
      </w:r>
      <w:r>
        <w:rPr>
          <w:sz w:val="20"/>
          <w:szCs w:val="20"/>
          <w:lang w:val="sr-Cyrl-RS"/>
        </w:rPr>
        <w:t xml:space="preserve">462</w:t>
      </w:r>
      <w:r>
        <w:rPr>
          <w:sz w:val="20"/>
          <w:szCs w:val="20"/>
          <w:lang w:val="en-GB"/>
        </w:rPr>
        <w:t xml:space="preserve">-</w:t>
      </w:r>
      <w:r>
        <w:rPr>
          <w:sz w:val="20"/>
          <w:szCs w:val="20"/>
          <w:lang w:val="sr-Cyrl-CS"/>
        </w:rPr>
        <w:t xml:space="preserve">5</w:t>
      </w:r>
      <w:r>
        <w:rPr>
          <w:sz w:val="20"/>
          <w:szCs w:val="20"/>
          <w:lang w:val="sr-Cyrl-CS"/>
        </w:rPr>
      </w:r>
      <w:r/>
    </w:p>
    <w:p>
      <w:pPr>
        <w:pStyle w:val="960"/>
        <w:ind w:firstLine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Дана:</w:t>
      </w:r>
      <w:r>
        <w:rPr>
          <w:sz w:val="20"/>
          <w:szCs w:val="20"/>
          <w:lang w:val="sr-Cyrl-RS"/>
        </w:rPr>
        <w:t xml:space="preserve">13</w:t>
      </w:r>
      <w:r>
        <w:rPr>
          <w:sz w:val="20"/>
          <w:szCs w:val="20"/>
          <w:lang w:val="sr-Cyrl-CS"/>
        </w:rPr>
        <w:t xml:space="preserve">.</w:t>
      </w:r>
      <w:r>
        <w:rPr>
          <w:sz w:val="20"/>
          <w:szCs w:val="20"/>
          <w:lang w:val="sr-Cyrl-CS"/>
        </w:rPr>
        <w:t xml:space="preserve">9</w:t>
      </w:r>
      <w:r>
        <w:rPr>
          <w:sz w:val="20"/>
          <w:szCs w:val="20"/>
          <w:lang w:val="sr-Cyrl-CS"/>
        </w:rPr>
        <w:t xml:space="preserve">.20</w:t>
      </w:r>
      <w:r>
        <w:rPr>
          <w:sz w:val="20"/>
          <w:szCs w:val="20"/>
          <w:lang w:val="sr-Latn-CS"/>
        </w:rPr>
        <w:t xml:space="preserve">2</w:t>
      </w:r>
      <w:r>
        <w:rPr>
          <w:sz w:val="20"/>
          <w:szCs w:val="20"/>
          <w:lang w:val="sr-Cyrl-RS"/>
        </w:rPr>
        <w:t xml:space="preserve">3</w:t>
      </w:r>
      <w:r>
        <w:rPr>
          <w:sz w:val="20"/>
          <w:szCs w:val="20"/>
          <w:lang w:val="sr-Cyrl-CS"/>
        </w:rPr>
        <w:t xml:space="preserve">.</w:t>
      </w:r>
      <w:r>
        <w:rPr>
          <w:sz w:val="20"/>
          <w:szCs w:val="20"/>
          <w:lang w:val="sr-Cyrl-CS"/>
        </w:rPr>
        <w:t xml:space="preserve">године</w:t>
      </w:r>
      <w:r>
        <w:rPr>
          <w:sz w:val="20"/>
          <w:szCs w:val="20"/>
          <w:lang w:val="sr-Cyrl-CS"/>
        </w:rPr>
      </w:r>
      <w:r/>
    </w:p>
    <w:p>
      <w:pPr>
        <w:pStyle w:val="960"/>
        <w:ind w:firstLine="72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Бачка Паланка </w:t>
      </w:r>
      <w:r/>
    </w:p>
    <w:p>
      <w:pPr>
        <w:pStyle w:val="960"/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>
        <w:rPr>
          <w:lang w:val="sr-Cyrl-CS"/>
        </w:rPr>
        <w:t xml:space="preserve">                   </w:t>
      </w:r>
      <w:r>
        <w:rPr>
          <w:lang w:val="sr-Cyrl-CS"/>
        </w:rPr>
      </w:r>
      <w:r/>
    </w:p>
    <w:p>
      <w:pPr>
        <w:pStyle w:val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Д Л У КА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додели уговора у поступку набавке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добара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-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разни  прехрамбени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производ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за период од годину дана од дана закључења уговора за потребе ОШ „Херој Пинки“ Бачка Паланка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73"/>
        <w:jc w:val="both"/>
        <w:tabs>
          <w:tab w:val="left" w:pos="284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Уговор о набавци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добра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добара- разних  прехрамбених производа за период од годину дана од дана закључења уговора за потребе ОШ „Херој Пинки“ Бачка Паланка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коју се, у складу са чланом 27. став 1. тачка 1), члана 88. став 7. Закона о јавним набавкама ("Службени гласник РС", број 91/2019; у даљем тексту: Закон)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чл 44. Правилника о ближем уређивању поступка јавне набавке ОШ „ Херој Пинки“ Бачка Паланка ( дел.бр.: 26 од 29.1.2021.године).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предметну набавку не примењују одредбе Закона додељује се понуђачу: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val="sr-Cyrl-CS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jc w:val="both"/>
        <w:tabs>
          <w:tab w:val="left" w:pos="664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Универекспорт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 Сад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Сентандрејски пут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165 Нови Сад</w:t>
      </w:r>
      <w:r>
        <w:rPr>
          <w:rFonts w:ascii="Times New Roman" w:hAnsi="Times New Roman" w:cs="Times New Roman"/>
          <w:sz w:val="24"/>
          <w:szCs w:val="24"/>
          <w:lang w:val="sr-Cyrl-CS"/>
        </w:rPr>
      </w:r>
      <w:r/>
    </w:p>
    <w:p>
      <w:pPr>
        <w:pStyle w:val="9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</w:r>
      <w:r>
        <w:rPr>
          <w:rFonts w:ascii="Times New Roman" w:hAnsi="Times New Roman" w:cs="Times New Roman"/>
          <w:sz w:val="24"/>
          <w:szCs w:val="24"/>
        </w:rPr>
        <w:t xml:space="preserve">Порески идентификациони број: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2929"/>
          <w:sz w:val="24"/>
          <w:szCs w:val="24"/>
          <w:lang w:val="sr-Cyrl-CS"/>
        </w:rPr>
        <w:t xml:space="preserve">101</w:t>
      </w:r>
      <w:r>
        <w:rPr>
          <w:rFonts w:ascii="Times New Roman" w:hAnsi="Times New Roman" w:cs="Times New Roman"/>
          <w:color w:val="292929"/>
          <w:sz w:val="24"/>
          <w:szCs w:val="24"/>
          <w:lang w:val="sr-Cyrl-RS"/>
        </w:rPr>
        <w:t xml:space="preserve">692669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Матични 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08207259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jc w:val="center"/>
        <w:rPr>
          <w:rFonts w:ascii="Times New Roman" w:hAnsi="Times New Roman" w:cs="Times New Roman"/>
          <w:color w:val="292929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б р а з л о ж е њ е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73"/>
        <w:jc w:val="both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462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-1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.202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покренут је поступак набавк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добара 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разних  прехрамбених производа за период од годину дана од дана закључења уговора за потребе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потребе ОШ „Херој Пинки“ Бачка Паланка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складу са чланом 27. став 1. тачка 1), члана 88. став 7.  Закона о јавним набавка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 ("Службени гласник РС", број 91/2019; у даљем тексту: Закон) и чл 44. Правилника о ближем уређивању поступка јавне набавке ОШ „ Херој Пинки“ Бачка Паланка ( дел.бр.: 26 од 29.1.2021.године) према коме се на предметну набавку не примењују одредбе Закона.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73"/>
        <w:jc w:val="both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Одлуком број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462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-2 од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.202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именована трочлана комисија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Финансирање ове јавне набавке на коју се закон не примењује је предвиђено у плану јавних набавки за 20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позицији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426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укупном износу на годишњем нивоу 290.000,00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финансијском плану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средстава из додатних извора у истом износу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sr-Cyrl-CS"/>
        </w:rPr>
      </w:r>
      <w:r>
        <w:rPr>
          <w:rFonts w:ascii="Times New Roman" w:hAnsi="Times New Roman" w:cs="Times New Roman"/>
          <w:sz w:val="24"/>
          <w:szCs w:val="24"/>
          <w:highlight w:val="none"/>
          <w:lang w:val="sr-Cyrl-CS"/>
        </w:rPr>
      </w:r>
      <w:r/>
    </w:p>
    <w:p>
      <w:pPr>
        <w:pStyle w:val="960"/>
        <w:tabs>
          <w:tab w:val="left" w:pos="5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омисиј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именован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за спровођење набавке изврши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ла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је испитивање </w:t>
      </w:r>
      <w:r>
        <w:rPr>
          <w:rFonts w:ascii="Times New Roman" w:hAnsi="Times New Roman" w:cs="Times New Roman"/>
          <w:sz w:val="24"/>
          <w:szCs w:val="24"/>
        </w:rPr>
        <w:t xml:space="preserve">и истраживање тржишта, те утврдил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да се предметна услуга у количинама и квалитету наведеним у позиву за подношење понуда могу набавити на тржишту у оквиру процењене вредности набавке. С тим у вези,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.202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</w:rPr>
        <w:t xml:space="preserve">упућен је позив понуђачима који обављају делатност која је предмет набавке и која су према сазнањима наручиоца способна да изврше набавку да поднесу понуде, да доставе понуде у складу са условима наведеним у позиву, </w:t>
      </w:r>
      <w:r>
        <w:rPr>
          <w:rFonts w:ascii="Times New Roman" w:hAnsi="Times New Roman" w:cs="Times New Roman"/>
          <w:sz w:val="24"/>
          <w:szCs w:val="24"/>
        </w:rPr>
        <w:t xml:space="preserve">и то:</w:t>
      </w:r>
      <w:r>
        <w:rPr>
          <w:rFonts w:ascii="Times New Roman" w:hAnsi="Times New Roman" w:cs="Times New Roman"/>
          <w:sz w:val="24"/>
          <w:szCs w:val="24"/>
          <w:lang w:val="sr-Cyrl-CS"/>
        </w:rPr>
      </w:r>
      <w:r/>
    </w:p>
    <w:p>
      <w:pPr>
        <w:pStyle w:val="960"/>
        <w:tabs>
          <w:tab w:val="left" w:pos="540" w:leader="none"/>
        </w:tabs>
        <w:rPr>
          <w:lang w:val="sr-Cyrl-CS"/>
        </w:rPr>
      </w:pPr>
      <w:r>
        <w:rPr>
          <w:lang w:val="sr-Cyrl-CS"/>
        </w:rPr>
      </w:r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82"/>
        <w:gridCol w:w="6326"/>
      </w:tblGrid>
      <w:tr>
        <w:trPr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Редни број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26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Назив/име понуђача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vAlign w:val="top"/>
            <w:textDirection w:val="lrTb"/>
            <w:noWrap w:val="false"/>
          </w:tcPr>
          <w:p>
            <w:pPr>
              <w:pStyle w:val="9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26" w:type="dxa"/>
            <w:vAlign w:val="top"/>
            <w:textDirection w:val="lrTb"/>
            <w:noWrap w:val="false"/>
          </w:tcPr>
          <w:p>
            <w:pPr>
              <w:rPr>
                <w:highlight w:val="none"/>
                <w:lang w:val="sr-Cyrl-RS"/>
              </w:rPr>
            </w:pPr>
            <w:r>
              <w:rPr>
                <w:lang w:val="sr-Cyrl-RS"/>
              </w:rPr>
              <w:t xml:space="preserve">ДОО Гомекс</w:t>
            </w:r>
            <w:r/>
          </w:p>
          <w:p>
            <w:r>
              <w:rPr>
                <w:highlight w:val="none"/>
                <w:lang w:val="sr-Cyrl-RS"/>
              </w:rPr>
              <w:t xml:space="preserve">23000 Зрењанин</w:t>
            </w:r>
            <w:r>
              <w:rPr>
                <w:highlight w:val="none"/>
                <w:lang w:val="sr-Cyrl-RS"/>
              </w:rPr>
            </w:r>
            <w:r/>
          </w:p>
        </w:tc>
      </w:tr>
      <w:tr>
        <w:trPr>
          <w:trHeight w:val="4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vAlign w:val="top"/>
            <w:textDirection w:val="lrTb"/>
            <w:noWrap w:val="false"/>
          </w:tcPr>
          <w:p>
            <w:pPr>
              <w:pStyle w:val="9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26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tabs>
                <w:tab w:val="left" w:pos="6645" w:leader="none"/>
              </w:tabs>
              <w:rPr>
                <w:sz w:val="20"/>
                <w:szCs w:val="20"/>
                <w:highlight w:val="none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Универекспорт ДОО</w:t>
            </w:r>
            <w:r/>
          </w:p>
          <w:p>
            <w:pPr>
              <w:jc w:val="both"/>
              <w:tabs>
                <w:tab w:val="left" w:pos="6645" w:leader="none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highlight w:val="none"/>
                <w:lang w:val="sr-Cyrl-RS"/>
              </w:rPr>
              <w:t xml:space="preserve">21000 Нови Сад</w:t>
            </w:r>
            <w:r>
              <w:rPr>
                <w:sz w:val="20"/>
                <w:szCs w:val="20"/>
                <w:highlight w:val="none"/>
                <w:lang w:val="sr-Cyrl-RS"/>
              </w:rPr>
            </w:r>
            <w:r/>
          </w:p>
        </w:tc>
      </w:tr>
      <w:tr>
        <w:trPr>
          <w:trHeight w:val="6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82" w:type="dxa"/>
            <w:vAlign w:val="top"/>
            <w:textDirection w:val="lrTb"/>
            <w:noWrap w:val="false"/>
          </w:tcPr>
          <w:p>
            <w:pPr>
              <w:pStyle w:val="9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326" w:type="dxa"/>
            <w:vAlign w:val="top"/>
            <w:textDirection w:val="lrTb"/>
            <w:noWrap w:val="false"/>
          </w:tcPr>
          <w:p>
            <w:pPr>
              <w:pStyle w:val="960"/>
              <w:rPr>
                <w:sz w:val="20"/>
                <w:szCs w:val="20"/>
                <w:highlight w:val="none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А:Д Подунавље</w:t>
            </w:r>
            <w:r/>
          </w:p>
          <w:p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highlight w:val="none"/>
                <w:lang w:val="sr-Cyrl-RS"/>
              </w:rPr>
              <w:t xml:space="preserve">21400 Бачка Паланка</w:t>
            </w:r>
            <w:r>
              <w:rPr>
                <w:sz w:val="20"/>
                <w:szCs w:val="20"/>
                <w:highlight w:val="none"/>
                <w:lang w:val="sr-Cyrl-RS"/>
              </w:rPr>
            </w:r>
            <w:r/>
          </w:p>
        </w:tc>
      </w:tr>
    </w:tbl>
    <w:p>
      <w:pPr>
        <w:pStyle w:val="960"/>
        <w:rPr>
          <w:highlight w:val="none"/>
          <w:lang w:val="sr-Cyrl-RS"/>
        </w:rPr>
      </w:pPr>
      <w:r>
        <w:rPr>
          <w:lang w:val="sr-Cyrl-CS"/>
        </w:rPr>
      </w:r>
      <w:r>
        <w:rPr>
          <w:lang w:val="sr-Cyrl-RS"/>
        </w:rPr>
        <w:t xml:space="preserve">Позив је из разлога транспарентности и доступности свима објављен на сајту школе</w:t>
      </w:r>
      <w:r>
        <w:rPr>
          <w:lang w:val="sr-Cyrl-RS"/>
        </w:rPr>
        <w:t xml:space="preserve">.</w:t>
      </w:r>
      <w:r/>
    </w:p>
    <w:p>
      <w:pPr>
        <w:rPr>
          <w:lang w:val="sr-Cyrl-CS"/>
        </w:rPr>
      </w:pPr>
      <w:r>
        <w:rPr>
          <w:highlight w:val="none"/>
          <w:lang w:val="sr-Cyrl-RS"/>
        </w:rPr>
      </w:r>
      <w:r>
        <w:rPr>
          <w:highlight w:val="none"/>
          <w:lang w:val="sr-Cyrl-RS"/>
        </w:rPr>
      </w:r>
      <w:r/>
    </w:p>
    <w:p>
      <w:pPr>
        <w:pStyle w:val="960"/>
        <w:jc w:val="both"/>
        <w:rPr>
          <w:lang w:val="sr-Cyrl-CS"/>
        </w:rPr>
      </w:pPr>
      <w:r>
        <w:rPr>
          <w:lang w:val="sr-Cyrl-CS"/>
        </w:rPr>
        <w:t xml:space="preserve">Утврђено је да</w:t>
      </w:r>
      <w:r>
        <w:rPr>
          <w:lang w:val="sr-Cyrl-RS"/>
        </w:rPr>
        <w:t xml:space="preserve"> је</w:t>
      </w:r>
      <w:r>
        <w:rPr>
          <w:lang w:val="sr-Cyrl-CS"/>
        </w:rPr>
        <w:t xml:space="preserve"> пристигл</w:t>
      </w:r>
      <w:r>
        <w:rPr>
          <w:lang w:val="sr-Cyrl-RS"/>
        </w:rPr>
        <w:t xml:space="preserve">а</w:t>
      </w:r>
      <w:r>
        <w:rPr>
          <w:lang w:val="sr-Cyrl-RS"/>
        </w:rPr>
        <w:t xml:space="preserve"> 1</w:t>
      </w:r>
      <w:r>
        <w:rPr>
          <w:lang w:val="sr-Cyrl-CS"/>
        </w:rPr>
        <w:t xml:space="preserve"> понуд</w:t>
      </w:r>
      <w:r>
        <w:rPr>
          <w:lang w:val="sr-Cyrl-RS"/>
        </w:rPr>
        <w:t xml:space="preserve">а и да</w:t>
      </w:r>
      <w:r>
        <w:rPr>
          <w:lang w:val="sr-Cyrl-CS"/>
        </w:rPr>
        <w:t xml:space="preserve"> испуњавај</w:t>
      </w:r>
      <w:r>
        <w:rPr>
          <w:lang w:val="sr-Cyrl-RS"/>
        </w:rPr>
        <w:t xml:space="preserve">а</w:t>
      </w:r>
      <w:r>
        <w:rPr>
          <w:lang w:val="sr-Cyrl-CS"/>
        </w:rPr>
        <w:t xml:space="preserve"> квантитативне и квалитативне услове наведене у позиву, и то:</w:t>
      </w:r>
      <w:r/>
    </w:p>
    <w:p>
      <w:pPr>
        <w:pStyle w:val="960"/>
        <w:ind w:left="720"/>
        <w:rPr>
          <w:lang w:val="sr-Cyrl-CS"/>
        </w:rPr>
      </w:pPr>
      <w:r>
        <w:rPr>
          <w:lang w:val="sr-Cyrl-CS"/>
        </w:rPr>
      </w:r>
      <w:r/>
    </w:p>
    <w:p>
      <w:pPr>
        <w:pStyle w:val="960"/>
        <w:ind w:left="720"/>
        <w:rPr>
          <w:lang w:val="sr-Cyrl-CS"/>
        </w:rPr>
      </w:pPr>
      <w:r>
        <w:rPr>
          <w:lang w:val="sr-Cyrl-CS"/>
        </w:rPr>
      </w:r>
      <w:r/>
    </w:p>
    <w:p>
      <w:pPr>
        <w:pStyle w:val="960"/>
        <w:ind w:left="360"/>
        <w:jc w:val="both"/>
        <w:rPr>
          <w:lang w:val="sr-Cyrl-CS"/>
        </w:rPr>
      </w:pPr>
      <w:r>
        <w:rPr>
          <w:lang w:val="sr-Cyrl-CS"/>
        </w:rPr>
      </w:r>
      <w:r/>
    </w:p>
    <w:tbl>
      <w:tblPr>
        <w:tblpPr w:horzAnchor="margin" w:tblpXSpec="left" w:vertAnchor="text" w:tblpY="853" w:leftFromText="180" w:topFromText="0" w:rightFromText="180" w:bottomFromText="0"/>
        <w:tblW w:w="101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50"/>
        <w:gridCol w:w="3524"/>
        <w:gridCol w:w="1847"/>
        <w:gridCol w:w="4001"/>
      </w:tblGrid>
      <w:tr>
        <w:trPr>
          <w:trHeight w:val="6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top"/>
            <w:textDirection w:val="lrTb"/>
            <w:noWrap w:val="false"/>
          </w:tcPr>
          <w:p>
            <w:pPr>
              <w:pStyle w:val="972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ramePr w:hSpace="180" w:wrap="around" w:vAnchor="text" w:hAnchor="margin" w:y="853"/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Ред.број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4" w:type="dxa"/>
            <w:vAlign w:val="top"/>
            <w:textDirection w:val="lrTb"/>
            <w:noWrap w:val="false"/>
          </w:tcPr>
          <w:p>
            <w:pPr>
              <w:pStyle w:val="972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ramePr w:hSpace="180" w:wrap="around" w:vAnchor="text" w:hAnchor="margin" w:y="853"/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Понуђач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vAlign w:val="top"/>
            <w:textDirection w:val="lrTb"/>
            <w:noWrap w:val="false"/>
          </w:tcPr>
          <w:p>
            <w:pPr>
              <w:pStyle w:val="972"/>
              <w:jc w:val="center"/>
              <w:rPr>
                <w:rFonts w:ascii="Times New Roman" w:hAnsi="Times New Roman"/>
                <w:b/>
                <w:sz w:val="20"/>
                <w:szCs w:val="20"/>
              </w:rPr>
              <w:framePr w:hSpace="180" w:wrap="around" w:vAnchor="text" w:hAnchor="margin" w:y="853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Број понуде под којим је заведена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1" w:type="dxa"/>
            <w:vAlign w:val="top"/>
            <w:textDirection w:val="lrTb"/>
            <w:noWrap w:val="false"/>
          </w:tcPr>
          <w:p>
            <w:pPr>
              <w:pStyle w:val="972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ramePr w:hSpace="180" w:wrap="around" w:vAnchor="text" w:hAnchor="margin" w:y="853"/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Понуђена цена без ПДВ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годишње</w:t>
            </w:r>
            <w:r/>
          </w:p>
          <w:p>
            <w:pPr>
              <w:pStyle w:val="972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ramePr w:hSpace="180" w:wrap="around" w:vAnchor="text" w:hAnchor="margin" w:y="853"/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r>
            <w:r/>
          </w:p>
        </w:tc>
      </w:tr>
      <w:tr>
        <w:trPr>
          <w:trHeight w:val="6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0" w:type="dxa"/>
            <w:vAlign w:val="top"/>
            <w:textDirection w:val="lrTb"/>
            <w:noWrap w:val="false"/>
          </w:tcPr>
          <w:p>
            <w:pPr>
              <w:pStyle w:val="972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  <w:framePr w:hSpace="180" w:wrap="around" w:vAnchor="text" w:hAnchor="margin" w:y="853"/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24" w:type="dxa"/>
            <w:vAlign w:val="top"/>
            <w:textDirection w:val="lrTb"/>
            <w:noWrap w:val="false"/>
          </w:tcPr>
          <w:p>
            <w:pPr>
              <w:pStyle w:val="960"/>
              <w:jc w:val="both"/>
              <w:tabs>
                <w:tab w:val="left" w:pos="6645" w:leader="none"/>
              </w:tabs>
              <w:rPr>
                <w:sz w:val="20"/>
                <w:szCs w:val="20"/>
                <w:highlight w:val="none"/>
                <w:lang w:val="sr-Cyrl-RS"/>
              </w:rPr>
              <w:framePr w:hSpace="180" w:wrap="around" w:vAnchor="text" w:hAnchor="margin" w:y="853"/>
            </w:pPr>
            <w:r>
              <w:rPr>
                <w:sz w:val="20"/>
                <w:szCs w:val="20"/>
                <w:lang w:val="sr-Cyrl-RS"/>
              </w:rPr>
              <w:t xml:space="preserve">Универекспорт ДОО</w:t>
            </w:r>
            <w:r/>
          </w:p>
          <w:p>
            <w:pPr>
              <w:jc w:val="both"/>
              <w:tabs>
                <w:tab w:val="left" w:pos="6645" w:leader="none"/>
              </w:tabs>
              <w:rPr>
                <w:sz w:val="20"/>
                <w:szCs w:val="20"/>
                <w:lang w:val="sr-Cyrl-CS"/>
              </w:rPr>
              <w:framePr w:hSpace="180" w:wrap="around" w:vAnchor="text" w:hAnchor="margin" w:y="853"/>
            </w:pPr>
            <w:r>
              <w:rPr>
                <w:sz w:val="20"/>
                <w:szCs w:val="20"/>
                <w:highlight w:val="none"/>
                <w:lang w:val="sr-Cyrl-RS"/>
              </w:rPr>
              <w:t xml:space="preserve">21000 Нови САд</w:t>
            </w:r>
            <w:r>
              <w:rPr>
                <w:sz w:val="20"/>
                <w:szCs w:val="20"/>
                <w:highlight w:val="none"/>
                <w:lang w:val="sr-Cyrl-RS"/>
              </w:rPr>
            </w:r>
            <w:r/>
          </w:p>
          <w:p>
            <w:pPr>
              <w:pStyle w:val="960"/>
              <w:jc w:val="both"/>
              <w:tabs>
                <w:tab w:val="left" w:pos="6645" w:leader="none"/>
              </w:tabs>
              <w:rPr>
                <w:sz w:val="20"/>
                <w:szCs w:val="20"/>
              </w:rPr>
              <w:framePr w:hSpace="180" w:wrap="around" w:vAnchor="text" w:hAnchor="margin" w:y="853"/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7" w:type="dxa"/>
            <w:vAlign w:val="top"/>
            <w:textDirection w:val="lrTb"/>
            <w:noWrap w:val="false"/>
          </w:tcPr>
          <w:p>
            <w:pPr>
              <w:pStyle w:val="972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  <w:framePr w:hSpace="180" w:wrap="around" w:vAnchor="text" w:hAnchor="margin" w:y="853"/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487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од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13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.9.202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.год.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01" w:type="dxa"/>
            <w:vAlign w:val="top"/>
            <w:textDirection w:val="lrTb"/>
            <w:noWrap w:val="false"/>
          </w:tcPr>
          <w:p>
            <w:pPr>
              <w:pStyle w:val="972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  <w:framePr w:hSpace="180" w:wrap="around" w:vAnchor="text" w:hAnchor="margin" w:y="853"/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329.265,00</w:t>
            </w:r>
            <w:r/>
          </w:p>
        </w:tc>
      </w:tr>
    </w:tbl>
    <w:p>
      <w:pPr>
        <w:pStyle w:val="960"/>
        <w:ind w:left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</w:r>
      <w:r/>
    </w:p>
    <w:p>
      <w:pPr>
        <w:pStyle w:val="960"/>
        <w:rPr>
          <w:sz w:val="20"/>
          <w:szCs w:val="20"/>
          <w:lang w:val="sr-Cyrl-CS"/>
        </w:rPr>
      </w:pPr>
      <w:r/>
      <w:r>
        <w:rPr>
          <w:sz w:val="20"/>
          <w:szCs w:val="20"/>
          <w:lang w:val="sr-Cyrl-CS"/>
        </w:rPr>
      </w:r>
      <w:r/>
    </w:p>
    <w:p>
      <w:pPr>
        <w:pStyle w:val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Анализом тржишта утврђено је да понуђен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цен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веће од упоредиве тржишне цене.</w:t>
      </w:r>
      <w:bookmarkStart w:id="2" w:name="_Hlk456573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Сходно наведеном, предлаже се да  набавку добара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добара 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разних  прехрамбених производа за период од годину дана од дана закључења уговора за потребе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потребе ОШ „Херој Пинки“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изврши </w:t>
      </w:r>
      <w:r>
        <w:rPr>
          <w:rFonts w:ascii="Times New Roman" w:hAnsi="Times New Roman" w:cs="Times New Roman"/>
          <w:sz w:val="24"/>
          <w:szCs w:val="24"/>
        </w:rPr>
        <w:t xml:space="preserve">понуђач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jc w:val="both"/>
        <w:tabs>
          <w:tab w:val="left" w:pos="664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Универекспорт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Нови Сад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Сентандрејски пут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165 Нови Сад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</w:r>
      <w:r>
        <w:rPr>
          <w:rFonts w:ascii="Times New Roman" w:hAnsi="Times New Roman" w:cs="Times New Roman"/>
          <w:sz w:val="24"/>
          <w:szCs w:val="24"/>
        </w:rPr>
        <w:t xml:space="preserve">Порески идентификациони број:</w:t>
      </w:r>
      <w:r>
        <w:rPr>
          <w:rFonts w:ascii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92929"/>
          <w:sz w:val="24"/>
          <w:szCs w:val="24"/>
          <w:lang w:val="sr-Cyrl-CS"/>
        </w:rPr>
        <w:t xml:space="preserve">101</w:t>
      </w:r>
      <w:r>
        <w:rPr>
          <w:rFonts w:ascii="Times New Roman" w:hAnsi="Times New Roman" w:cs="Times New Roman"/>
          <w:color w:val="292929"/>
          <w:sz w:val="24"/>
          <w:szCs w:val="24"/>
          <w:lang w:val="sr-Cyrl-RS"/>
        </w:rPr>
        <w:t xml:space="preserve">692669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960"/>
        <w:tabs>
          <w:tab w:val="left" w:pos="743" w:leader="none"/>
        </w:tabs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Матични број: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08207259</w:t>
      </w:r>
      <w:r>
        <w:rPr>
          <w:rFonts w:ascii="Times New Roman" w:hAnsi="Times New Roman" w:cs="Times New Roman"/>
          <w:sz w:val="24"/>
          <w:szCs w:val="24"/>
        </w:rPr>
      </w:r>
      <w:bookmarkEnd w:id="2"/>
      <w:r>
        <w:rPr>
          <w:rFonts w:ascii="Times New Roman" w:hAnsi="Times New Roman" w:cs="Times New Roman"/>
          <w:sz w:val="24"/>
          <w:szCs w:val="24"/>
        </w:rPr>
      </w:r>
      <w:r/>
    </w:p>
    <w:p>
      <w:pPr>
        <w:tabs>
          <w:tab w:val="left" w:pos="74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960"/>
        <w:tabs>
          <w:tab w:val="left" w:pos="743" w:leader="none"/>
        </w:tabs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Одговорно лице наручиоца прихватило је предлог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избору најповољније понуде, те је на основу законског овлашћења донело одлуку о додели уговора како је наведено у диспозитиву </w:t>
      </w:r>
      <w:r>
        <w:rPr>
          <w:lang w:val="sr-Cyrl-CS"/>
        </w:rPr>
        <w:t xml:space="preserve">одлуке.</w:t>
      </w:r>
      <w:r/>
    </w:p>
    <w:tbl>
      <w:tblPr>
        <w:tblW w:w="9938" w:type="dxa"/>
        <w:jc w:val="center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641"/>
        <w:gridCol w:w="2550"/>
        <w:gridCol w:w="374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641" w:type="dxa"/>
            <w:vAlign w:val="top"/>
            <w:textDirection w:val="lrTb"/>
            <w:noWrap w:val="false"/>
          </w:tcPr>
          <w:p>
            <w:pPr>
              <w:pStyle w:val="960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0" w:type="dxa"/>
            <w:vAlign w:val="top"/>
            <w:textDirection w:val="lrTb"/>
            <w:noWrap w:val="false"/>
          </w:tcPr>
          <w:p>
            <w:pPr>
              <w:pStyle w:val="960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47" w:type="dxa"/>
            <w:vAlign w:val="top"/>
            <w:textDirection w:val="lrTb"/>
            <w:noWrap w:val="false"/>
          </w:tcPr>
          <w:p>
            <w:pPr>
              <w:pStyle w:val="960"/>
              <w:jc w:val="center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ДИРЕКТОР</w:t>
            </w:r>
            <w:r/>
          </w:p>
        </w:tc>
      </w:tr>
      <w:tr>
        <w:trPr/>
        <w:tc>
          <w:tcPr>
            <w:tcW w:w="3641" w:type="dxa"/>
            <w:vAlign w:val="top"/>
            <w:textDirection w:val="lrTb"/>
            <w:noWrap w:val="false"/>
          </w:tcPr>
          <w:p>
            <w:pPr>
              <w:pStyle w:val="960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</w:r>
            <w:r/>
          </w:p>
        </w:tc>
        <w:tc>
          <w:tcPr>
            <w:tcW w:w="2550" w:type="dxa"/>
            <w:vAlign w:val="center"/>
            <w:textDirection w:val="lrTb"/>
            <w:noWrap w:val="false"/>
          </w:tcPr>
          <w:p>
            <w:pPr>
              <w:pStyle w:val="960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М. П</w:t>
            </w:r>
            <w:r/>
          </w:p>
        </w:tc>
        <w:tc>
          <w:tcPr>
            <w:tcBorders>
              <w:bottom w:val="single" w:color="000000" w:sz="4" w:space="0"/>
            </w:tcBorders>
            <w:tcW w:w="3747" w:type="dxa"/>
            <w:vAlign w:val="top"/>
            <w:textDirection w:val="lrTb"/>
            <w:noWrap w:val="false"/>
          </w:tcPr>
          <w:p>
            <w:pPr>
              <w:pStyle w:val="960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</w:r>
            <w:r/>
          </w:p>
        </w:tc>
      </w:tr>
    </w:tbl>
    <w:p>
      <w:pPr>
        <w:pStyle w:val="960"/>
      </w:pPr>
      <w:r/>
      <w:r/>
    </w:p>
    <w:p>
      <w:pPr>
        <w:pStyle w:val="960"/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</w:r>
      <w:r/>
    </w:p>
    <w:p>
      <w:pPr>
        <w:pStyle w:val="960"/>
        <w:rPr>
          <w:sz w:val="22"/>
          <w:szCs w:val="2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>
        <w:rPr>
          <w:lang w:val="sr-Cyrl-CS"/>
        </w:rPr>
        <w:t xml:space="preserve">              </w:t>
      </w:r>
      <w:r>
        <w:rPr>
          <w:lang w:val="sr-Cyrl-CS"/>
        </w:rPr>
        <w:t xml:space="preserve">Анђела Дувњак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</w:t>
      </w:r>
      <w:r/>
    </w:p>
    <w:sectPr>
      <w:headerReference w:type="default" r:id="rId9"/>
      <w:footerReference w:type="default" r:id="rId10"/>
      <w:footnotePr/>
      <w:endnotePr/>
      <w:type w:val="nextPage"/>
      <w:pgSz w:w="11907" w:h="16840" w:orient="portrait"/>
      <w:pgMar w:top="1067" w:right="747" w:bottom="1440" w:left="900" w:header="89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rPr>
        <w:lang w:val="sr-Cyrl-CS"/>
      </w:rPr>
    </w:pPr>
    <w:r>
      <w:rPr>
        <w:lang w:val="sr-Cyrl-CS"/>
      </w:rPr>
      <w:t xml:space="preserve"> </w:t>
    </w:r>
    <w:r>
      <w:rPr>
        <w:lang w:val="sr-Cyrl-CS"/>
      </w:rPr>
    </w:r>
    <w:r/>
  </w:p>
  <w:tbl>
    <w:tblPr>
      <w:tblW w:w="10557" w:type="dxa"/>
      <w:jc w:val="center"/>
      <w:tblInd w:w="-972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  <w:tblLook w:val="01E0" w:firstRow="1" w:lastRow="1" w:firstColumn="1" w:lastColumn="1" w:noHBand="0" w:noVBand="0"/>
    </w:tblPr>
    <w:tblGrid>
      <w:gridCol w:w="10557"/>
    </w:tblGrid>
    <w:tr>
      <w:trPr/>
      <w:tc>
        <w:tcPr>
          <w:shd w:val="clear" w:color="auto" w:fill="f3f3f3"/>
          <w:tcW w:w="10557" w:type="dxa"/>
          <w:vAlign w:val="top"/>
          <w:textDirection w:val="lrTb"/>
          <w:noWrap w:val="false"/>
        </w:tcPr>
        <w:p>
          <w:pPr>
            <w:pStyle w:val="968"/>
            <w:jc w:val="center"/>
            <w:rPr>
              <w:color w:val="808080"/>
              <w:sz w:val="16"/>
              <w:szCs w:val="16"/>
              <w:lang w:val="sr-Cyrl-C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sr-Cyrl-CS"/>
            </w:rPr>
            <w:t xml:space="preserve">жиро рачун</w:t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840-454660-65</w:t>
          </w:r>
          <w:r>
            <w:rPr>
              <w:rFonts w:ascii="Arial" w:hAnsi="Arial" w:cs="Arial"/>
              <w:b/>
              <w:color w:val="808080"/>
              <w:sz w:val="16"/>
              <w:szCs w:val="16"/>
              <w:lang w:val="sr-Cyrl-CS"/>
            </w:rPr>
            <w:t xml:space="preserve">      </w:t>
          </w:r>
          <w:r>
            <w:rPr>
              <w:rFonts w:ascii="Arial" w:hAnsi="Arial" w:cs="Arial"/>
              <w:color w:val="808080"/>
              <w:sz w:val="16"/>
              <w:szCs w:val="16"/>
              <w:lang w:val="sr-Cyrl-CS"/>
            </w:rPr>
            <w:t xml:space="preserve">ПИБ:</w:t>
          </w:r>
          <w:r>
            <w:rPr>
              <w:rFonts w:ascii="Arial" w:hAnsi="Arial" w:cs="Arial"/>
              <w:b/>
              <w:color w:val="808080"/>
              <w:sz w:val="16"/>
              <w:szCs w:val="16"/>
              <w:lang w:val="sr-Cyrl-CS"/>
            </w:rPr>
            <w:t xml:space="preserve"> 100753025</w:t>
          </w:r>
          <w:r>
            <w:rPr>
              <w:color w:val="808080"/>
              <w:sz w:val="16"/>
              <w:szCs w:val="16"/>
              <w:lang w:val="sr-Cyrl-CS"/>
            </w:rPr>
          </w:r>
          <w:r/>
        </w:p>
      </w:tc>
    </w:tr>
  </w:tbl>
  <w:p>
    <w:pPr>
      <w:pStyle w:val="968"/>
      <w:rPr>
        <w:lang w:val="sr-Cyrl-CS"/>
      </w:rPr>
    </w:pPr>
    <w:r>
      <w:rPr>
        <w:lang w:val="sr-Cyrl-CS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center" w:vertAnchor="page" w:tblpY="905" w:leftFromText="180" w:topFromText="0" w:rightFromText="180" w:bottomFromText="0"/>
      <w:tblW w:w="10368" w:type="dxa"/>
      <w:tblInd w:w="0" w:type="dxa"/>
      <w:tblBorders>
        <w:top w:val="single" w:color="808080" w:sz="4" w:space="0"/>
        <w:left w:val="single" w:color="808080" w:sz="4" w:space="0"/>
        <w:bottom w:val="single" w:color="808080" w:sz="4" w:space="0"/>
        <w:right w:val="single" w:color="808080" w:sz="4" w:space="0"/>
        <w:insideH w:val="single" w:color="808080" w:sz="4" w:space="0"/>
        <w:insideV w:val="single" w:color="808080" w:sz="4" w:space="0"/>
      </w:tblBorders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8568"/>
      <w:gridCol w:w="1800"/>
    </w:tblGrid>
    <w:tr>
      <w:trPr>
        <w:cantSplit/>
        <w:trHeight w:val="516"/>
      </w:trPr>
      <w:tc>
        <w:tcPr>
          <w:shd w:val="clear" w:color="auto" w:fill="e0e0e0"/>
          <w:tcW w:w="8568" w:type="dxa"/>
          <w:vAlign w:val="center"/>
          <w:textDirection w:val="lrTb"/>
          <w:noWrap w:val="false"/>
        </w:tcPr>
        <w:p>
          <w:pPr>
            <w:pStyle w:val="962"/>
            <w:rPr>
              <w:rFonts w:ascii="Arial" w:hAnsi="Arial" w:cs="Arial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b w:val="0"/>
              <w:sz w:val="36"/>
              <w:szCs w:val="36"/>
            </w:rPr>
            <w:t xml:space="preserve">O</w:t>
          </w:r>
          <w:r>
            <w:rPr>
              <w:rFonts w:ascii="Arial" w:hAnsi="Arial" w:cs="Arial"/>
              <w:b w:val="0"/>
              <w:sz w:val="36"/>
              <w:szCs w:val="36"/>
            </w:rPr>
            <w:t xml:space="preserve">сновна школа</w:t>
          </w:r>
          <w:r>
            <w:rPr>
              <w:rFonts w:ascii="Arial" w:hAnsi="Arial" w:cs="Arial"/>
              <w:sz w:val="36"/>
              <w:szCs w:val="36"/>
            </w:rPr>
            <w:t xml:space="preserve"> </w:t>
          </w:r>
          <w:r>
            <w:rPr>
              <w:rFonts w:ascii="Arial" w:hAnsi="Arial" w:cs="Arial"/>
              <w:sz w:val="36"/>
              <w:szCs w:val="36"/>
            </w:rPr>
            <w:t xml:space="preserve">*</w:t>
          </w:r>
          <w:r>
            <w:rPr>
              <w:rFonts w:ascii="Arial" w:hAnsi="Arial" w:cs="Arial"/>
              <w:sz w:val="36"/>
              <w:szCs w:val="36"/>
            </w:rPr>
            <w:t xml:space="preserve">Херој Пинки</w:t>
          </w:r>
          <w:r>
            <w:rPr>
              <w:rFonts w:ascii="Arial" w:hAnsi="Arial" w:cs="Arial"/>
              <w:sz w:val="36"/>
              <w:szCs w:val="36"/>
            </w:rPr>
            <w:t xml:space="preserve">* </w:t>
          </w:r>
          <w:r>
            <w:rPr>
              <w:rFonts w:ascii="Arial" w:hAnsi="Arial" w:cs="Arial"/>
              <w:b w:val="0"/>
              <w:szCs w:val="24"/>
            </w:rPr>
            <w:t xml:space="preserve">Бачка Паланка</w:t>
          </w:r>
          <w:r>
            <w:rPr>
              <w:rFonts w:ascii="Arial" w:hAnsi="Arial" w:cs="Arial"/>
            </w:rPr>
          </w:r>
          <w:r/>
        </w:p>
      </w:tc>
      <w:tc>
        <w:tcPr>
          <w:tcW w:w="1800" w:type="dxa"/>
          <w:vAlign w:val="center"/>
          <w:vMerge w:val="restart"/>
          <w:textDirection w:val="lrTb"/>
          <w:noWrap w:val="false"/>
        </w:tcPr>
        <w:p>
          <w:pPr>
            <w:pStyle w:val="960"/>
            <w:jc w:val="center"/>
            <w:rPr>
              <w:rFonts w:ascii="Arial" w:hAnsi="Arial" w:cs="Arial"/>
              <w:sz w:val="8"/>
              <w:szCs w:val="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8"/>
              <w:szCs w:val="8"/>
              <w:lang w:val="sr-Cyrl-CS"/>
            </w:rPr>
          </w:r>
          <w:r/>
        </w:p>
        <w:p>
          <w:pPr>
            <w:pStyle w:val="960"/>
            <w:jc w:val="center"/>
            <w:rPr>
              <w:rFonts w:ascii="Arial" w:hAnsi="Arial" w:cs="Arial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780462" cy="847164"/>
                    <wp:effectExtent l="0" t="0" r="0" b="0"/>
                    <wp:docPr id="1" name="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780462" cy="847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61.5pt;height:66.7pt;mso-wrap-distance-left:0.0pt;mso-wrap-distance-top:0.0pt;mso-wrap-distance-right:0.0pt;mso-wrap-distance-bottom:0.0pt;" stroked="f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/>
              <w:lang w:val="sr-Cyrl-CS"/>
            </w:rPr>
          </w:r>
          <w:r/>
        </w:p>
        <w:p>
          <w:pPr>
            <w:pStyle w:val="960"/>
            <w:jc w:val="center"/>
            <w:rPr>
              <w:rFonts w:ascii="Arial" w:hAnsi="Arial" w:cs="Arial"/>
              <w:sz w:val="8"/>
              <w:szCs w:val="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8"/>
              <w:szCs w:val="8"/>
              <w:lang w:val="sr-Cyrl-CS"/>
            </w:rPr>
          </w:r>
          <w:r/>
        </w:p>
      </w:tc>
    </w:tr>
    <w:tr>
      <w:trPr>
        <w:cantSplit/>
        <w:trHeight w:val="535"/>
      </w:trPr>
      <w:tc>
        <w:tcPr>
          <w:shd w:val="clear" w:color="auto" w:fill="f3f3f3"/>
          <w:tcW w:w="8568" w:type="dxa"/>
          <w:vAlign w:val="center"/>
          <w:textDirection w:val="lrTb"/>
          <w:noWrap w:val="false"/>
        </w:tcPr>
        <w:p>
          <w:pPr>
            <w:pStyle w:val="960"/>
            <w:jc w:val="right"/>
            <w:rPr>
              <w:rFonts w:ascii="Arial" w:hAnsi="Arial" w:cs="Arial"/>
              <w:sz w:val="18"/>
              <w:szCs w:val="1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А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дреса: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Трг Братства Јединства 12</w:t>
          </w:r>
          <w:r>
            <w:rPr>
              <w:rFonts w:ascii="Arial" w:hAnsi="Arial" w:cs="Arial"/>
              <w:b/>
              <w:sz w:val="18"/>
              <w:szCs w:val="18"/>
              <w:lang w:val="sr-Latn-CS"/>
            </w:rPr>
            <w:t xml:space="preserve">, 21400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Бачка Паланка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sr-Cyrl-CS"/>
            </w:rPr>
          </w:r>
          <w:r/>
        </w:p>
        <w:p>
          <w:pPr>
            <w:pStyle w:val="960"/>
            <w:jc w:val="right"/>
            <w:rPr>
              <w:rFonts w:ascii="Arial" w:hAnsi="Arial" w:cs="Arial"/>
              <w:b/>
              <w:sz w:val="18"/>
              <w:szCs w:val="18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телефон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021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6040687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   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факс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021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754293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</w:r>
          <w:r/>
        </w:p>
        <w:p>
          <w:pPr>
            <w:pStyle w:val="963"/>
            <w:jc w:val="right"/>
            <w:rPr>
              <w:rFonts w:ascii="Arial" w:hAnsi="Arial" w:cs="Arial"/>
              <w:b/>
              <w:sz w:val="18"/>
              <w:szCs w:val="18"/>
              <w:lang w:val="sr-Cyrl-CS"/>
            </w:rPr>
            <w:framePr w:wrap="around" w:vAnchor="page" w:hAnchor="margin" w:xAlign="center" w:y="905"/>
          </w:pPr>
          <w:r>
            <w:rPr>
              <w:rFonts w:ascii="Arial" w:hAnsi="Arial" w:cs="Arial"/>
              <w:sz w:val="18"/>
              <w:szCs w:val="18"/>
              <w:lang w:val="sr-Latn-CS"/>
            </w:rPr>
            <w:t xml:space="preserve">e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лектронска пошта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: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skolaherojpinki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@</w:t>
          </w:r>
          <w:r>
            <w:rPr>
              <w:rFonts w:ascii="Arial" w:hAnsi="Arial" w:cs="Arial"/>
              <w:b/>
              <w:sz w:val="18"/>
              <w:szCs w:val="18"/>
              <w:lang w:val="en-GB"/>
            </w:rPr>
            <w:t xml:space="preserve">gmail.com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    </w:t>
          </w:r>
          <w:r>
            <w:rPr>
              <w:rFonts w:ascii="Arial" w:hAnsi="Arial" w:cs="Arial"/>
              <w:sz w:val="18"/>
              <w:szCs w:val="18"/>
              <w:lang w:val="sr-Cyrl-CS"/>
            </w:rPr>
            <w:t xml:space="preserve">интернет презентација: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www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herojpinki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edu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  <w:t xml:space="preserve">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rs</w:t>
          </w:r>
          <w:r>
            <w:rPr>
              <w:rFonts w:ascii="Arial" w:hAnsi="Arial" w:cs="Arial"/>
              <w:b/>
              <w:sz w:val="18"/>
              <w:szCs w:val="18"/>
              <w:lang w:val="sr-Cyrl-CS"/>
            </w:rPr>
          </w:r>
          <w:r/>
        </w:p>
      </w:tc>
      <w:tc>
        <w:tcPr>
          <w:tcW w:w="1800" w:type="dxa"/>
          <w:vAlign w:val="center"/>
          <w:vMerge w:val="continue"/>
          <w:textDirection w:val="lrTb"/>
          <w:noWrap w:val="false"/>
        </w:tcPr>
        <w:p>
          <w:pPr>
            <w:pStyle w:val="960"/>
            <w:jc w:val="center"/>
            <w:rPr>
              <w:rFonts w:ascii="Arial" w:hAnsi="Arial" w:cs="Arial"/>
              <w:lang w:val="sr-Cyrl-CS"/>
            </w:rPr>
            <w:framePr w:hSpace="180" w:wrap="around" w:vAnchor="page" w:hAnchor="margin" w:xAlign="center" w:y="905"/>
          </w:pPr>
          <w:r>
            <w:rPr>
              <w:rFonts w:ascii="Arial" w:hAnsi="Arial" w:cs="Arial"/>
              <w:lang w:val="sr-Cyrl-CS"/>
            </w:rPr>
          </w:r>
          <w:r/>
        </w:p>
      </w:tc>
    </w:tr>
  </w:tbl>
  <w:p>
    <w:pPr>
      <w:pStyle w:val="967"/>
      <w:rPr>
        <w:lang w:val="en-GB"/>
      </w:rPr>
    </w:pPr>
    <w:r>
      <w:rPr>
        <w:lang w:val="en-GB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60"/>
        <w:ind w:left="720" w:hanging="360"/>
        <w:tabs>
          <w:tab w:val="num" w:pos="720" w:leader="none"/>
        </w:tabs>
      </w:pPr>
      <w:rPr>
        <w:b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6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6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6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6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6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6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6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60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91">
    <w:name w:val="Heading 2"/>
    <w:basedOn w:val="960"/>
    <w:next w:val="960"/>
    <w:link w:val="7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2">
    <w:name w:val="Heading 2 Char"/>
    <w:basedOn w:val="964"/>
    <w:link w:val="791"/>
    <w:uiPriority w:val="9"/>
    <w:rPr>
      <w:rFonts w:ascii="Arial" w:hAnsi="Arial" w:eastAsia="Arial" w:cs="Arial"/>
      <w:sz w:val="34"/>
    </w:rPr>
  </w:style>
  <w:style w:type="paragraph" w:styleId="793">
    <w:name w:val="Heading 3"/>
    <w:basedOn w:val="960"/>
    <w:next w:val="960"/>
    <w:link w:val="7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4">
    <w:name w:val="Heading 3 Char"/>
    <w:basedOn w:val="964"/>
    <w:link w:val="793"/>
    <w:uiPriority w:val="9"/>
    <w:rPr>
      <w:rFonts w:ascii="Arial" w:hAnsi="Arial" w:eastAsia="Arial" w:cs="Arial"/>
      <w:sz w:val="30"/>
      <w:szCs w:val="30"/>
    </w:rPr>
  </w:style>
  <w:style w:type="character" w:styleId="795">
    <w:name w:val="Heading 4 Char"/>
    <w:basedOn w:val="964"/>
    <w:link w:val="962"/>
    <w:uiPriority w:val="9"/>
    <w:rPr>
      <w:rFonts w:ascii="Arial" w:hAnsi="Arial" w:eastAsia="Arial" w:cs="Arial"/>
      <w:b/>
      <w:bCs/>
      <w:sz w:val="26"/>
      <w:szCs w:val="26"/>
    </w:rPr>
  </w:style>
  <w:style w:type="paragraph" w:styleId="796">
    <w:name w:val="Heading 5"/>
    <w:basedOn w:val="960"/>
    <w:next w:val="960"/>
    <w:link w:val="7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7">
    <w:name w:val="Heading 5 Char"/>
    <w:basedOn w:val="964"/>
    <w:link w:val="796"/>
    <w:uiPriority w:val="9"/>
    <w:rPr>
      <w:rFonts w:ascii="Arial" w:hAnsi="Arial" w:eastAsia="Arial" w:cs="Arial"/>
      <w:b/>
      <w:bCs/>
      <w:sz w:val="24"/>
      <w:szCs w:val="24"/>
    </w:rPr>
  </w:style>
  <w:style w:type="paragraph" w:styleId="798">
    <w:name w:val="Heading 6"/>
    <w:basedOn w:val="960"/>
    <w:next w:val="960"/>
    <w:link w:val="7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9">
    <w:name w:val="Heading 6 Char"/>
    <w:basedOn w:val="964"/>
    <w:link w:val="798"/>
    <w:uiPriority w:val="9"/>
    <w:rPr>
      <w:rFonts w:ascii="Arial" w:hAnsi="Arial" w:eastAsia="Arial" w:cs="Arial"/>
      <w:b/>
      <w:bCs/>
      <w:sz w:val="22"/>
      <w:szCs w:val="22"/>
    </w:rPr>
  </w:style>
  <w:style w:type="paragraph" w:styleId="800">
    <w:name w:val="Heading 7"/>
    <w:basedOn w:val="960"/>
    <w:next w:val="960"/>
    <w:link w:val="8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1">
    <w:name w:val="Heading 7 Char"/>
    <w:basedOn w:val="964"/>
    <w:link w:val="8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2">
    <w:name w:val="Heading 8 Char"/>
    <w:basedOn w:val="964"/>
    <w:link w:val="963"/>
    <w:uiPriority w:val="9"/>
    <w:rPr>
      <w:rFonts w:ascii="Arial" w:hAnsi="Arial" w:eastAsia="Arial" w:cs="Arial"/>
      <w:i/>
      <w:iCs/>
      <w:sz w:val="22"/>
      <w:szCs w:val="22"/>
    </w:rPr>
  </w:style>
  <w:style w:type="paragraph" w:styleId="803">
    <w:name w:val="Heading 9"/>
    <w:basedOn w:val="960"/>
    <w:next w:val="960"/>
    <w:link w:val="8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4">
    <w:name w:val="Heading 9 Char"/>
    <w:basedOn w:val="964"/>
    <w:link w:val="803"/>
    <w:uiPriority w:val="9"/>
    <w:rPr>
      <w:rFonts w:ascii="Arial" w:hAnsi="Arial" w:eastAsia="Arial" w:cs="Arial"/>
      <w:i/>
      <w:iCs/>
      <w:sz w:val="21"/>
      <w:szCs w:val="21"/>
    </w:rPr>
  </w:style>
  <w:style w:type="paragraph" w:styleId="805">
    <w:name w:val="List Paragraph"/>
    <w:basedOn w:val="960"/>
    <w:uiPriority w:val="34"/>
    <w:qFormat/>
    <w:pPr>
      <w:contextualSpacing/>
      <w:ind w:left="720"/>
    </w:pPr>
  </w:style>
  <w:style w:type="paragraph" w:styleId="806">
    <w:name w:val="Title"/>
    <w:basedOn w:val="960"/>
    <w:next w:val="960"/>
    <w:link w:val="8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7">
    <w:name w:val="Title Char"/>
    <w:basedOn w:val="964"/>
    <w:link w:val="806"/>
    <w:uiPriority w:val="10"/>
    <w:rPr>
      <w:sz w:val="48"/>
      <w:szCs w:val="48"/>
    </w:rPr>
  </w:style>
  <w:style w:type="paragraph" w:styleId="808">
    <w:name w:val="Subtitle"/>
    <w:basedOn w:val="960"/>
    <w:next w:val="960"/>
    <w:link w:val="809"/>
    <w:uiPriority w:val="11"/>
    <w:qFormat/>
    <w:pPr>
      <w:spacing w:before="200" w:after="200"/>
    </w:pPr>
    <w:rPr>
      <w:sz w:val="24"/>
      <w:szCs w:val="24"/>
    </w:rPr>
  </w:style>
  <w:style w:type="character" w:styleId="809">
    <w:name w:val="Subtitle Char"/>
    <w:basedOn w:val="964"/>
    <w:link w:val="808"/>
    <w:uiPriority w:val="11"/>
    <w:rPr>
      <w:sz w:val="24"/>
      <w:szCs w:val="24"/>
    </w:rPr>
  </w:style>
  <w:style w:type="paragraph" w:styleId="810">
    <w:name w:val="Quote"/>
    <w:basedOn w:val="960"/>
    <w:next w:val="960"/>
    <w:link w:val="811"/>
    <w:uiPriority w:val="29"/>
    <w:qFormat/>
    <w:pPr>
      <w:ind w:left="720" w:right="720"/>
    </w:pPr>
    <w:rPr>
      <w:i/>
    </w:rPr>
  </w:style>
  <w:style w:type="character" w:styleId="811">
    <w:name w:val="Quote Char"/>
    <w:link w:val="810"/>
    <w:uiPriority w:val="29"/>
    <w:rPr>
      <w:i/>
    </w:rPr>
  </w:style>
  <w:style w:type="paragraph" w:styleId="812">
    <w:name w:val="Intense Quote"/>
    <w:basedOn w:val="960"/>
    <w:next w:val="960"/>
    <w:link w:val="8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3">
    <w:name w:val="Intense Quote Char"/>
    <w:link w:val="812"/>
    <w:uiPriority w:val="30"/>
    <w:rPr>
      <w:i/>
    </w:rPr>
  </w:style>
  <w:style w:type="character" w:styleId="814">
    <w:name w:val="Header Char"/>
    <w:basedOn w:val="964"/>
    <w:link w:val="967"/>
    <w:uiPriority w:val="99"/>
  </w:style>
  <w:style w:type="character" w:styleId="815">
    <w:name w:val="Footer Char"/>
    <w:basedOn w:val="964"/>
    <w:link w:val="968"/>
    <w:uiPriority w:val="99"/>
  </w:style>
  <w:style w:type="paragraph" w:styleId="816">
    <w:name w:val="Caption"/>
    <w:basedOn w:val="960"/>
    <w:next w:val="9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7">
    <w:name w:val="Caption Char"/>
    <w:basedOn w:val="816"/>
    <w:link w:val="968"/>
    <w:uiPriority w:val="99"/>
  </w:style>
  <w:style w:type="table" w:styleId="81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43">
    <w:name w:val="footnote text"/>
    <w:basedOn w:val="960"/>
    <w:link w:val="944"/>
    <w:uiPriority w:val="99"/>
    <w:semiHidden/>
    <w:unhideWhenUsed/>
    <w:pPr>
      <w:spacing w:after="40" w:line="240" w:lineRule="auto"/>
    </w:pPr>
    <w:rPr>
      <w:sz w:val="18"/>
    </w:rPr>
  </w:style>
  <w:style w:type="character" w:styleId="944">
    <w:name w:val="Footnote Text Char"/>
    <w:link w:val="943"/>
    <w:uiPriority w:val="99"/>
    <w:rPr>
      <w:sz w:val="18"/>
    </w:rPr>
  </w:style>
  <w:style w:type="character" w:styleId="945">
    <w:name w:val="footnote reference"/>
    <w:basedOn w:val="964"/>
    <w:uiPriority w:val="99"/>
    <w:unhideWhenUsed/>
    <w:rPr>
      <w:vertAlign w:val="superscript"/>
    </w:rPr>
  </w:style>
  <w:style w:type="paragraph" w:styleId="946">
    <w:name w:val="endnote text"/>
    <w:basedOn w:val="960"/>
    <w:link w:val="947"/>
    <w:uiPriority w:val="99"/>
    <w:semiHidden/>
    <w:unhideWhenUsed/>
    <w:pPr>
      <w:spacing w:after="0" w:line="240" w:lineRule="auto"/>
    </w:pPr>
    <w:rPr>
      <w:sz w:val="20"/>
    </w:rPr>
  </w:style>
  <w:style w:type="character" w:styleId="947">
    <w:name w:val="Endnote Text Char"/>
    <w:link w:val="946"/>
    <w:uiPriority w:val="99"/>
    <w:rPr>
      <w:sz w:val="20"/>
    </w:rPr>
  </w:style>
  <w:style w:type="character" w:styleId="948">
    <w:name w:val="endnote reference"/>
    <w:basedOn w:val="964"/>
    <w:uiPriority w:val="99"/>
    <w:semiHidden/>
    <w:unhideWhenUsed/>
    <w:rPr>
      <w:vertAlign w:val="superscript"/>
    </w:rPr>
  </w:style>
  <w:style w:type="paragraph" w:styleId="949">
    <w:name w:val="toc 1"/>
    <w:basedOn w:val="960"/>
    <w:next w:val="960"/>
    <w:uiPriority w:val="39"/>
    <w:unhideWhenUsed/>
    <w:pPr>
      <w:ind w:left="0" w:right="0" w:firstLine="0"/>
      <w:spacing w:after="57"/>
    </w:pPr>
  </w:style>
  <w:style w:type="paragraph" w:styleId="950">
    <w:name w:val="toc 2"/>
    <w:basedOn w:val="960"/>
    <w:next w:val="960"/>
    <w:uiPriority w:val="39"/>
    <w:unhideWhenUsed/>
    <w:pPr>
      <w:ind w:left="283" w:right="0" w:firstLine="0"/>
      <w:spacing w:after="57"/>
    </w:pPr>
  </w:style>
  <w:style w:type="paragraph" w:styleId="951">
    <w:name w:val="toc 3"/>
    <w:basedOn w:val="960"/>
    <w:next w:val="960"/>
    <w:uiPriority w:val="39"/>
    <w:unhideWhenUsed/>
    <w:pPr>
      <w:ind w:left="567" w:right="0" w:firstLine="0"/>
      <w:spacing w:after="57"/>
    </w:pPr>
  </w:style>
  <w:style w:type="paragraph" w:styleId="952">
    <w:name w:val="toc 4"/>
    <w:basedOn w:val="960"/>
    <w:next w:val="960"/>
    <w:uiPriority w:val="39"/>
    <w:unhideWhenUsed/>
    <w:pPr>
      <w:ind w:left="850" w:right="0" w:firstLine="0"/>
      <w:spacing w:after="57"/>
    </w:pPr>
  </w:style>
  <w:style w:type="paragraph" w:styleId="953">
    <w:name w:val="toc 5"/>
    <w:basedOn w:val="960"/>
    <w:next w:val="960"/>
    <w:uiPriority w:val="39"/>
    <w:unhideWhenUsed/>
    <w:pPr>
      <w:ind w:left="1134" w:right="0" w:firstLine="0"/>
      <w:spacing w:after="57"/>
    </w:pPr>
  </w:style>
  <w:style w:type="paragraph" w:styleId="954">
    <w:name w:val="toc 6"/>
    <w:basedOn w:val="960"/>
    <w:next w:val="960"/>
    <w:uiPriority w:val="39"/>
    <w:unhideWhenUsed/>
    <w:pPr>
      <w:ind w:left="1417" w:right="0" w:firstLine="0"/>
      <w:spacing w:after="57"/>
    </w:pPr>
  </w:style>
  <w:style w:type="paragraph" w:styleId="955">
    <w:name w:val="toc 7"/>
    <w:basedOn w:val="960"/>
    <w:next w:val="960"/>
    <w:uiPriority w:val="39"/>
    <w:unhideWhenUsed/>
    <w:pPr>
      <w:ind w:left="1701" w:right="0" w:firstLine="0"/>
      <w:spacing w:after="57"/>
    </w:pPr>
  </w:style>
  <w:style w:type="paragraph" w:styleId="956">
    <w:name w:val="toc 8"/>
    <w:basedOn w:val="960"/>
    <w:next w:val="960"/>
    <w:uiPriority w:val="39"/>
    <w:unhideWhenUsed/>
    <w:pPr>
      <w:ind w:left="1984" w:right="0" w:firstLine="0"/>
      <w:spacing w:after="57"/>
    </w:pPr>
  </w:style>
  <w:style w:type="paragraph" w:styleId="957">
    <w:name w:val="toc 9"/>
    <w:basedOn w:val="960"/>
    <w:next w:val="960"/>
    <w:uiPriority w:val="39"/>
    <w:unhideWhenUsed/>
    <w:pPr>
      <w:ind w:left="2268" w:right="0" w:firstLine="0"/>
      <w:spacing w:after="57"/>
    </w:pPr>
  </w:style>
  <w:style w:type="paragraph" w:styleId="958">
    <w:name w:val="TOC Heading"/>
    <w:uiPriority w:val="39"/>
    <w:unhideWhenUsed/>
  </w:style>
  <w:style w:type="paragraph" w:styleId="959">
    <w:name w:val="table of figures"/>
    <w:basedOn w:val="960"/>
    <w:next w:val="960"/>
    <w:uiPriority w:val="99"/>
    <w:unhideWhenUsed/>
    <w:pPr>
      <w:spacing w:after="0" w:afterAutospacing="0"/>
    </w:pPr>
  </w:style>
  <w:style w:type="paragraph" w:styleId="960" w:default="1">
    <w:name w:val="Normal"/>
    <w:next w:val="960"/>
    <w:link w:val="960"/>
    <w:qFormat/>
    <w:rPr>
      <w:sz w:val="24"/>
      <w:szCs w:val="24"/>
      <w:lang w:val="en-US" w:eastAsia="en-US" w:bidi="ar-SA"/>
    </w:rPr>
  </w:style>
  <w:style w:type="paragraph" w:styleId="961">
    <w:name w:val="Heading 1"/>
    <w:basedOn w:val="960"/>
    <w:next w:val="960"/>
    <w:link w:val="971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962">
    <w:name w:val="Heading 4"/>
    <w:basedOn w:val="960"/>
    <w:next w:val="960"/>
    <w:link w:val="960"/>
    <w:qFormat/>
    <w:pPr>
      <w:keepNext/>
      <w:outlineLvl w:val="3"/>
    </w:pPr>
    <w:rPr>
      <w:b/>
      <w:bCs/>
      <w:szCs w:val="20"/>
      <w:lang w:val="sr-Cyrl-CS"/>
    </w:rPr>
  </w:style>
  <w:style w:type="paragraph" w:styleId="963">
    <w:name w:val="Heading 8"/>
    <w:basedOn w:val="960"/>
    <w:next w:val="960"/>
    <w:link w:val="960"/>
    <w:qFormat/>
    <w:pPr>
      <w:keepNext/>
      <w:framePr w:hSpace="180" w:wrap="notBeside" w:vAnchor="text" w:hAnchor="page" w:x="694" w:y="197"/>
      <w:outlineLvl w:val="7"/>
    </w:pPr>
    <w:rPr>
      <w:sz w:val="28"/>
      <w:szCs w:val="20"/>
    </w:rPr>
  </w:style>
  <w:style w:type="character" w:styleId="964" w:default="1">
    <w:name w:val="Default Paragraph Font"/>
    <w:next w:val="964"/>
    <w:link w:val="960"/>
    <w:semiHidden/>
  </w:style>
  <w:style w:type="table" w:styleId="965">
    <w:name w:val="Table Normal"/>
    <w:next w:val="965"/>
    <w:link w:val="960"/>
    <w:semiHidden/>
    <w:tblPr/>
  </w:style>
  <w:style w:type="numbering" w:styleId="966" w:default="1">
    <w:name w:val="No List"/>
    <w:next w:val="966"/>
    <w:link w:val="960"/>
    <w:semiHidden/>
  </w:style>
  <w:style w:type="paragraph" w:styleId="967">
    <w:name w:val="Header"/>
    <w:basedOn w:val="960"/>
    <w:next w:val="967"/>
    <w:link w:val="960"/>
    <w:pPr>
      <w:tabs>
        <w:tab w:val="center" w:pos="4320" w:leader="none"/>
        <w:tab w:val="right" w:pos="8640" w:leader="none"/>
      </w:tabs>
    </w:pPr>
  </w:style>
  <w:style w:type="paragraph" w:styleId="968">
    <w:name w:val="Footer"/>
    <w:basedOn w:val="960"/>
    <w:next w:val="968"/>
    <w:link w:val="960"/>
    <w:pPr>
      <w:tabs>
        <w:tab w:val="center" w:pos="4320" w:leader="none"/>
        <w:tab w:val="right" w:pos="8640" w:leader="none"/>
      </w:tabs>
    </w:pPr>
  </w:style>
  <w:style w:type="table" w:styleId="969">
    <w:name w:val="Table Grid"/>
    <w:basedOn w:val="965"/>
    <w:next w:val="969"/>
    <w:link w:val="960"/>
    <w:tblPr/>
  </w:style>
  <w:style w:type="character" w:styleId="970">
    <w:name w:val="Hyperlink"/>
    <w:next w:val="970"/>
    <w:link w:val="960"/>
    <w:rPr>
      <w:color w:val="0000ff"/>
      <w:u w:val="single"/>
    </w:rPr>
  </w:style>
  <w:style w:type="character" w:styleId="971">
    <w:name w:val="Heading 1 Char"/>
    <w:next w:val="971"/>
    <w:link w:val="961"/>
    <w:rPr>
      <w:rFonts w:ascii="Cambria" w:hAnsi="Cambria"/>
      <w:b/>
      <w:bCs/>
      <w:sz w:val="32"/>
      <w:szCs w:val="32"/>
    </w:rPr>
  </w:style>
  <w:style w:type="paragraph" w:styleId="972">
    <w:name w:val="No Spacing"/>
    <w:next w:val="972"/>
    <w:link w:val="960"/>
    <w:uiPriority w:val="1"/>
    <w:qFormat/>
    <w:rPr>
      <w:rFonts w:ascii="Calibri" w:hAnsi="Calibri" w:eastAsia="Calibri"/>
      <w:sz w:val="22"/>
      <w:szCs w:val="22"/>
      <w:lang w:val="sr-Latn-CS" w:eastAsia="en-US" w:bidi="ar-SA"/>
    </w:rPr>
  </w:style>
  <w:style w:type="paragraph" w:styleId="973">
    <w:name w:val="Default"/>
    <w:next w:val="973"/>
    <w:link w:val="960"/>
    <w:rPr>
      <w:color w:val="000000"/>
      <w:sz w:val="24"/>
      <w:szCs w:val="24"/>
      <w:lang w:val="en-US" w:eastAsia="en-US" w:bidi="ar-SA"/>
    </w:rPr>
  </w:style>
  <w:style w:type="table" w:styleId="9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28</dc:title>
  <dc:creator>winxp</dc:creator>
  <cp:revision>6</cp:revision>
  <dcterms:created xsi:type="dcterms:W3CDTF">2022-09-06T08:06:00Z</dcterms:created>
  <dcterms:modified xsi:type="dcterms:W3CDTF">2024-02-08T11:32:28Z</dcterms:modified>
  <cp:version>786432</cp:version>
</cp:coreProperties>
</file>